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EDA" w:rsidRDefault="00077EDA" w:rsidP="00077EDA">
      <w:pPr>
        <w:pStyle w:val="Heading2"/>
      </w:pPr>
      <w:r>
        <w:t>Sexual Harassment Policy Statement</w:t>
      </w:r>
    </w:p>
    <w:p w:rsidR="00077EDA" w:rsidRDefault="00077EDA" w:rsidP="00077EDA">
      <w:pPr>
        <w:rPr>
          <w:rFonts w:ascii="Rockwell" w:hAnsi="Rockwell"/>
          <w:b/>
          <w:bCs/>
          <w:sz w:val="22"/>
          <w:szCs w:val="22"/>
        </w:rPr>
      </w:pPr>
    </w:p>
    <w:p w:rsidR="00077EDA" w:rsidRDefault="00077EDA" w:rsidP="00077EDA">
      <w:pPr>
        <w:rPr>
          <w:rFonts w:ascii="Rockwell" w:hAnsi="Rockwell"/>
          <w:sz w:val="22"/>
          <w:szCs w:val="22"/>
        </w:rPr>
      </w:pPr>
      <w:smartTag w:uri="urn:schemas-microsoft-com:office:smarttags" w:element="place">
        <w:r>
          <w:rPr>
            <w:rFonts w:ascii="Rockwell" w:hAnsi="Rockwell"/>
            <w:sz w:val="22"/>
            <w:szCs w:val="22"/>
          </w:rPr>
          <w:t>Southern Arkansas</w:t>
        </w:r>
      </w:smartTag>
      <w:r>
        <w:rPr>
          <w:rFonts w:ascii="Rockwell" w:hAnsi="Rockwell"/>
          <w:sz w:val="22"/>
          <w:szCs w:val="22"/>
        </w:rPr>
        <w:t xml:space="preserve"> University Tech is committed to the maintenance of a community free from all forms of sexual harassment.  Sexual harassment violates College policy as well as state, federal and local laws.  It is neither permitted nor condoned.  The coverage of this policy extends to all faculty, staff, students, vendors, contractors, and visitors to the College.</w:t>
      </w:r>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r>
        <w:rPr>
          <w:rFonts w:ascii="Rockwell" w:hAnsi="Rockwell"/>
          <w:sz w:val="22"/>
          <w:szCs w:val="22"/>
        </w:rPr>
        <w:t>It is also a violation of SAU Tech’s policy against sexual harassment for any employee or student at the College to attempt in any way to retaliate against a person who makes a claim of sexual harassment.</w:t>
      </w:r>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r>
        <w:rPr>
          <w:rFonts w:ascii="Rockwell" w:hAnsi="Rockwell"/>
          <w:sz w:val="22"/>
          <w:szCs w:val="22"/>
        </w:rPr>
        <w:t>Any individual who, after thorough investigation and an informal or formal hearing, is found to have violated this College’s policy against sexual harassment will be subject to disciplinary action, including, but not limited to reprimand, suspension, termination, or expulsion.  Any disciplinary action taken will depend upon the severity of the offense.</w:t>
      </w:r>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r>
        <w:rPr>
          <w:rFonts w:ascii="Rockwell" w:hAnsi="Rockwell"/>
          <w:sz w:val="22"/>
          <w:szCs w:val="22"/>
        </w:rPr>
        <w:t>Definition:  Sexual harassment is any unwelcome sexual advance, request for sexual favors, or other verbal or physical conduct of a sexual nature when: (1) Submission to such conduct is an explicit or implicit condition of an employment or academic success; (2) Submission to or rejection of such conduct is used as the basis for an employment or academic decision; or (3) Such conduct has the purpose or effect of (a) Unreasonably interfering with an individual’s work or academic performance; or (b) Creating an intimidating, hostile, or offensive work or academic environment.</w:t>
      </w:r>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r>
        <w:rPr>
          <w:rFonts w:ascii="Rockwell" w:hAnsi="Rockwell"/>
          <w:sz w:val="22"/>
          <w:szCs w:val="22"/>
        </w:rPr>
        <w:t>While sexual harassment most often takes place where there is a power differential between the persons involved, it also may occur between persons of the same status.  Sexual harassment can occur on College premises or off campus at College sponsored events.  It can occur between members of the same gender as well as between members of different genders.</w:t>
      </w:r>
    </w:p>
    <w:p w:rsidR="00077EDA" w:rsidRDefault="00077EDA" w:rsidP="00077EDA">
      <w:pPr>
        <w:rPr>
          <w:rFonts w:ascii="Rockwell" w:hAnsi="Rockwell"/>
          <w:sz w:val="22"/>
          <w:szCs w:val="22"/>
        </w:rPr>
      </w:pPr>
    </w:p>
    <w:p w:rsidR="00077EDA" w:rsidRDefault="00077EDA" w:rsidP="00077EDA">
      <w:pPr>
        <w:pStyle w:val="Heading2"/>
      </w:pPr>
      <w:r>
        <w:t>Anti-Harassment Policy Statement</w:t>
      </w:r>
    </w:p>
    <w:p w:rsidR="00077EDA" w:rsidRDefault="00077EDA" w:rsidP="00077EDA">
      <w:pPr>
        <w:rPr>
          <w:rFonts w:ascii="Rockwell" w:hAnsi="Rockwell"/>
          <w:sz w:val="22"/>
          <w:szCs w:val="22"/>
        </w:rPr>
      </w:pPr>
    </w:p>
    <w:p w:rsidR="00077EDA" w:rsidRDefault="00077EDA" w:rsidP="00077EDA">
      <w:pPr>
        <w:rPr>
          <w:rFonts w:ascii="Rockwell" w:hAnsi="Rockwell"/>
          <w:b/>
          <w:bCs/>
          <w:sz w:val="22"/>
          <w:szCs w:val="22"/>
        </w:rPr>
      </w:pPr>
      <w:r>
        <w:rPr>
          <w:rFonts w:ascii="Rockwell" w:hAnsi="Rockwell"/>
          <w:sz w:val="22"/>
          <w:szCs w:val="22"/>
        </w:rPr>
        <w:t>No College employee, student, or individual on College property may intentionally harass or abuse a person (physically, or verbally) with the purpose or effect of unreasonably interfering with such person’s work or academic performance, or of creating an intimidating, hostile, or offensive work or academic environment.  Consistent with the College Diversity and Equity Statement, this Anti-Harassment Policy includes cases where the conduct is based on race, color, religion, national origin, ancestry, sex, age, marital status, sexual orientation, disability or veteran status.  This policy will be applied with due respect for the College’s commitment to equality of opportunity, human dignity, diversity, and academic freedom.</w:t>
      </w:r>
    </w:p>
    <w:p w:rsidR="00077EDA" w:rsidRDefault="00077EDA" w:rsidP="00077EDA">
      <w:pPr>
        <w:rPr>
          <w:rFonts w:ascii="Rockwell" w:hAnsi="Rockwell"/>
          <w:sz w:val="22"/>
          <w:szCs w:val="22"/>
        </w:rPr>
      </w:pPr>
    </w:p>
    <w:p w:rsidR="00077EDA" w:rsidRDefault="00077EDA" w:rsidP="00077EDA">
      <w:pPr>
        <w:pStyle w:val="Heading2"/>
      </w:pPr>
      <w:r>
        <w:t xml:space="preserve">Guidelines and Procedures for the Resolution of Complaints </w:t>
      </w:r>
    </w:p>
    <w:p w:rsidR="00077EDA" w:rsidRDefault="00077EDA" w:rsidP="00077EDA">
      <w:pPr>
        <w:rPr>
          <w:rFonts w:ascii="Rockwell" w:hAnsi="Rockwell"/>
          <w:sz w:val="22"/>
          <w:szCs w:val="22"/>
        </w:rPr>
      </w:pPr>
    </w:p>
    <w:p w:rsidR="00077EDA" w:rsidRDefault="00077EDA" w:rsidP="00077EDA">
      <w:pPr>
        <w:numPr>
          <w:ilvl w:val="0"/>
          <w:numId w:val="1"/>
        </w:numPr>
        <w:rPr>
          <w:rFonts w:ascii="Rockwell" w:hAnsi="Rockwell"/>
          <w:sz w:val="22"/>
          <w:szCs w:val="22"/>
        </w:rPr>
      </w:pPr>
      <w:r>
        <w:rPr>
          <w:rFonts w:ascii="Rockwell" w:hAnsi="Rockwell"/>
          <w:sz w:val="22"/>
          <w:szCs w:val="22"/>
        </w:rPr>
        <w:t>The Affirmative Action Policies and Procedures shall be enforced in a manner consistent with due process protections, including the right of any individual charged with a violation to a notice and a hearing.</w:t>
      </w:r>
    </w:p>
    <w:p w:rsidR="00077EDA" w:rsidRDefault="00077EDA" w:rsidP="00077EDA">
      <w:pPr>
        <w:numPr>
          <w:ilvl w:val="0"/>
          <w:numId w:val="1"/>
        </w:numPr>
        <w:rPr>
          <w:rFonts w:ascii="Rockwell" w:hAnsi="Rockwell"/>
          <w:sz w:val="22"/>
          <w:szCs w:val="22"/>
        </w:rPr>
      </w:pPr>
      <w:r>
        <w:rPr>
          <w:rFonts w:ascii="Rockwell" w:hAnsi="Rockwell"/>
          <w:sz w:val="22"/>
          <w:szCs w:val="22"/>
        </w:rPr>
        <w:t>Confidentiality shall be of primary important insofar as may be consistent with due process.</w:t>
      </w:r>
    </w:p>
    <w:p w:rsidR="00077EDA" w:rsidRDefault="00077EDA" w:rsidP="00077EDA">
      <w:pPr>
        <w:numPr>
          <w:ilvl w:val="0"/>
          <w:numId w:val="1"/>
        </w:numPr>
        <w:rPr>
          <w:rFonts w:ascii="Rockwell" w:hAnsi="Rockwell"/>
          <w:sz w:val="22"/>
          <w:szCs w:val="22"/>
        </w:rPr>
      </w:pPr>
      <w:r>
        <w:rPr>
          <w:rFonts w:ascii="Rockwell" w:hAnsi="Rockwell"/>
          <w:sz w:val="22"/>
          <w:szCs w:val="22"/>
        </w:rPr>
        <w:t>Informal resolution shall be the established practice for minor conflicts and disputes.  Major disputes and recurring minor incidents of intentionally discriminatory behavior shall be addressed through formal resolution.</w:t>
      </w:r>
    </w:p>
    <w:p w:rsidR="00077EDA" w:rsidRDefault="00077EDA" w:rsidP="00077EDA">
      <w:pPr>
        <w:numPr>
          <w:ilvl w:val="0"/>
          <w:numId w:val="1"/>
        </w:numPr>
        <w:rPr>
          <w:rFonts w:ascii="Rockwell" w:hAnsi="Rockwell"/>
          <w:sz w:val="22"/>
          <w:szCs w:val="22"/>
        </w:rPr>
      </w:pPr>
      <w:r>
        <w:rPr>
          <w:rFonts w:ascii="Rockwell" w:hAnsi="Rockwell"/>
          <w:sz w:val="22"/>
          <w:szCs w:val="22"/>
        </w:rPr>
        <w:t xml:space="preserve">Records shall be maintained which are adequate for statistical and policy review.  Record keeping must not be inconsistent with, and must not take priority over, confidentiality and a preference for informal dispute resolution. </w:t>
      </w:r>
    </w:p>
    <w:p w:rsidR="00077EDA" w:rsidRDefault="00077EDA" w:rsidP="00077EDA">
      <w:pPr>
        <w:numPr>
          <w:ilvl w:val="0"/>
          <w:numId w:val="1"/>
        </w:numPr>
        <w:rPr>
          <w:rFonts w:ascii="Rockwell" w:hAnsi="Rockwell"/>
          <w:sz w:val="22"/>
          <w:szCs w:val="22"/>
        </w:rPr>
      </w:pPr>
      <w:r>
        <w:rPr>
          <w:rFonts w:ascii="Rockwell" w:hAnsi="Rockwell"/>
          <w:sz w:val="22"/>
          <w:szCs w:val="22"/>
        </w:rPr>
        <w:t>All complaints shall be directed to the Vice Chancellor for Finance &amp; Administration.</w:t>
      </w:r>
    </w:p>
    <w:p w:rsidR="00077EDA" w:rsidRDefault="00077EDA" w:rsidP="00077EDA">
      <w:pPr>
        <w:numPr>
          <w:ilvl w:val="0"/>
          <w:numId w:val="1"/>
        </w:numPr>
        <w:rPr>
          <w:rFonts w:ascii="Rockwell" w:hAnsi="Rockwell"/>
          <w:sz w:val="22"/>
          <w:szCs w:val="22"/>
        </w:rPr>
      </w:pPr>
      <w:r>
        <w:rPr>
          <w:rFonts w:ascii="Rockwell" w:hAnsi="Rockwell"/>
          <w:sz w:val="22"/>
          <w:szCs w:val="22"/>
        </w:rPr>
        <w:t>Employees who knowingly file fraudulent complaints under this policy are subject to disciplinary action.</w:t>
      </w:r>
    </w:p>
    <w:p w:rsidR="00077EDA" w:rsidRDefault="00077EDA" w:rsidP="00077EDA">
      <w:pPr>
        <w:numPr>
          <w:ilvl w:val="0"/>
          <w:numId w:val="1"/>
        </w:numPr>
        <w:rPr>
          <w:rFonts w:ascii="Rockwell" w:hAnsi="Rockwell"/>
          <w:sz w:val="22"/>
          <w:szCs w:val="22"/>
        </w:rPr>
      </w:pPr>
      <w:r>
        <w:rPr>
          <w:rFonts w:ascii="Rockwell" w:hAnsi="Rockwell"/>
          <w:sz w:val="22"/>
          <w:szCs w:val="22"/>
        </w:rPr>
        <w:t>Employees will not be subject to retaliation for filing legitimate complaints.</w:t>
      </w:r>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r>
        <w:rPr>
          <w:rFonts w:ascii="Rockwell" w:hAnsi="Rockwell"/>
          <w:sz w:val="22"/>
          <w:szCs w:val="22"/>
        </w:rPr>
        <w:br w:type="page"/>
      </w:r>
    </w:p>
    <w:p w:rsidR="00077EDA" w:rsidRDefault="00077EDA" w:rsidP="00077EDA">
      <w:pPr>
        <w:pStyle w:val="BodyText2"/>
      </w:pPr>
      <w:r>
        <w:lastRenderedPageBreak/>
        <w:t>Employee Procedures for filing Discrimination or Harassment Complaints</w:t>
      </w:r>
    </w:p>
    <w:p w:rsidR="00077EDA" w:rsidRDefault="00077EDA" w:rsidP="00077EDA">
      <w:pPr>
        <w:rPr>
          <w:rFonts w:ascii="Rockwell" w:hAnsi="Rockwell"/>
          <w:sz w:val="22"/>
          <w:szCs w:val="22"/>
        </w:rPr>
      </w:pPr>
    </w:p>
    <w:p w:rsidR="00077EDA" w:rsidRDefault="00077EDA" w:rsidP="00077EDA">
      <w:pPr>
        <w:numPr>
          <w:ilvl w:val="0"/>
          <w:numId w:val="2"/>
        </w:numPr>
        <w:rPr>
          <w:rFonts w:ascii="Rockwell" w:hAnsi="Rockwell"/>
          <w:sz w:val="22"/>
          <w:szCs w:val="22"/>
        </w:rPr>
      </w:pPr>
      <w:r>
        <w:rPr>
          <w:rFonts w:ascii="Rockwell" w:hAnsi="Rockwell"/>
          <w:sz w:val="22"/>
          <w:szCs w:val="22"/>
        </w:rPr>
        <w:t>Contact the Vice Chancellor for Finance &amp; Administration</w:t>
      </w:r>
    </w:p>
    <w:p w:rsidR="00077EDA" w:rsidRDefault="00077EDA" w:rsidP="00077EDA">
      <w:pPr>
        <w:numPr>
          <w:ilvl w:val="0"/>
          <w:numId w:val="2"/>
        </w:numPr>
        <w:rPr>
          <w:rFonts w:ascii="Rockwell" w:hAnsi="Rockwell"/>
          <w:sz w:val="22"/>
          <w:szCs w:val="22"/>
        </w:rPr>
      </w:pPr>
      <w:r>
        <w:rPr>
          <w:rFonts w:ascii="Rockwell" w:hAnsi="Rockwell"/>
          <w:sz w:val="22"/>
          <w:szCs w:val="22"/>
        </w:rPr>
        <w:t>Fill out the College Discrimination/Harassment Complaint Form</w:t>
      </w:r>
    </w:p>
    <w:p w:rsidR="00077EDA" w:rsidRDefault="00077EDA" w:rsidP="00077EDA">
      <w:pPr>
        <w:numPr>
          <w:ilvl w:val="0"/>
          <w:numId w:val="2"/>
        </w:numPr>
        <w:rPr>
          <w:rFonts w:ascii="Rockwell" w:hAnsi="Rockwell"/>
          <w:sz w:val="22"/>
          <w:szCs w:val="22"/>
        </w:rPr>
      </w:pPr>
      <w:r>
        <w:rPr>
          <w:rFonts w:ascii="Rockwell" w:hAnsi="Rockwell"/>
          <w:sz w:val="22"/>
          <w:szCs w:val="22"/>
        </w:rPr>
        <w:t>Make an appointment with the VCFA and be prepared to provide a description of the incident which includes a chronology, identifies the person(s) involved, as well as naming witnesses, if any to the incident</w:t>
      </w:r>
    </w:p>
    <w:p w:rsidR="00077EDA" w:rsidRDefault="00077EDA" w:rsidP="00077EDA">
      <w:pPr>
        <w:numPr>
          <w:ilvl w:val="0"/>
          <w:numId w:val="2"/>
        </w:numPr>
        <w:rPr>
          <w:rFonts w:ascii="Rockwell" w:hAnsi="Rockwell"/>
          <w:sz w:val="22"/>
          <w:szCs w:val="22"/>
        </w:rPr>
      </w:pPr>
      <w:r>
        <w:rPr>
          <w:rFonts w:ascii="Rockwell" w:hAnsi="Rockwell"/>
          <w:sz w:val="22"/>
          <w:szCs w:val="22"/>
        </w:rPr>
        <w:t xml:space="preserve">If an investigation is conducted, the person(s) named in the complaint will be notified and provided a copy </w:t>
      </w:r>
      <w:proofErr w:type="spellStart"/>
      <w:r>
        <w:rPr>
          <w:rFonts w:ascii="Rockwell" w:hAnsi="Rockwell"/>
          <w:sz w:val="22"/>
          <w:szCs w:val="22"/>
        </w:rPr>
        <w:t>o</w:t>
      </w:r>
      <w:proofErr w:type="spellEnd"/>
      <w:r>
        <w:rPr>
          <w:rFonts w:ascii="Rockwell" w:hAnsi="Rockwell"/>
          <w:sz w:val="22"/>
          <w:szCs w:val="22"/>
        </w:rPr>
        <w:t xml:space="preserve"> the complaint</w:t>
      </w:r>
    </w:p>
    <w:p w:rsidR="00077EDA" w:rsidRDefault="00077EDA" w:rsidP="00077EDA">
      <w:pPr>
        <w:numPr>
          <w:ilvl w:val="0"/>
          <w:numId w:val="2"/>
        </w:numPr>
        <w:rPr>
          <w:rFonts w:ascii="Rockwell" w:hAnsi="Rockwell"/>
          <w:sz w:val="22"/>
          <w:szCs w:val="22"/>
        </w:rPr>
      </w:pPr>
      <w:r>
        <w:rPr>
          <w:rFonts w:ascii="Rockwell" w:hAnsi="Rockwell"/>
          <w:sz w:val="22"/>
          <w:szCs w:val="22"/>
        </w:rPr>
        <w:t xml:space="preserve">When the investigation is completed, all involved parties will be notified of the resolution </w:t>
      </w:r>
    </w:p>
    <w:p w:rsidR="00077EDA" w:rsidRDefault="00077EDA" w:rsidP="00077EDA">
      <w:pPr>
        <w:rPr>
          <w:rFonts w:ascii="Rockwell" w:hAnsi="Rockwell"/>
          <w:sz w:val="22"/>
          <w:szCs w:val="22"/>
        </w:rPr>
      </w:pPr>
    </w:p>
    <w:p w:rsidR="00077EDA" w:rsidRDefault="00077EDA" w:rsidP="00077EDA">
      <w:pPr>
        <w:rPr>
          <w:rFonts w:ascii="Rockwell" w:hAnsi="Rockwell"/>
          <w:sz w:val="22"/>
          <w:szCs w:val="22"/>
        </w:rPr>
        <w:sectPr w:rsidR="00077EDA" w:rsidSect="005A6DB8">
          <w:pgSz w:w="12240" w:h="15840"/>
          <w:pgMar w:top="-245" w:right="720" w:bottom="-245" w:left="720" w:header="720" w:footer="720" w:gutter="0"/>
          <w:cols w:space="720"/>
          <w:docGrid w:linePitch="360"/>
        </w:sectPr>
      </w:pPr>
    </w:p>
    <w:p w:rsidR="00077EDA" w:rsidRDefault="00077EDA" w:rsidP="00077EDA">
      <w:pPr>
        <w:pStyle w:val="Heading2"/>
      </w:pPr>
      <w:r>
        <w:lastRenderedPageBreak/>
        <w:t>Appendix</w:t>
      </w:r>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r>
        <w:rPr>
          <w:rFonts w:ascii="Rockwell" w:hAnsi="Rockwell"/>
          <w:sz w:val="22"/>
          <w:szCs w:val="22"/>
        </w:rPr>
        <w:t>Civil Rights Act of 1964</w:t>
      </w:r>
      <w:r>
        <w:rPr>
          <w:rFonts w:ascii="Rockwell" w:hAnsi="Rockwell"/>
          <w:sz w:val="22"/>
          <w:szCs w:val="22"/>
        </w:rPr>
        <w:tab/>
      </w:r>
    </w:p>
    <w:p w:rsidR="00077EDA" w:rsidRDefault="00077EDA" w:rsidP="00077EDA">
      <w:pPr>
        <w:rPr>
          <w:rFonts w:ascii="Rockwell" w:hAnsi="Rockwell"/>
          <w:sz w:val="22"/>
          <w:szCs w:val="22"/>
        </w:rPr>
      </w:pPr>
      <w:hyperlink r:id="rId6" w:history="1">
        <w:r>
          <w:rPr>
            <w:rStyle w:val="Hyperlink"/>
            <w:rFonts w:ascii="Rockwell" w:hAnsi="Rockwell"/>
            <w:sz w:val="22"/>
            <w:szCs w:val="22"/>
          </w:rPr>
          <w:t>http://usinfo.state.gov/usa/infousa/laws/majorlaw/civilr19.htm</w:t>
        </w:r>
      </w:hyperlink>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r>
        <w:rPr>
          <w:rFonts w:ascii="Rockwell" w:hAnsi="Rockwell"/>
          <w:sz w:val="22"/>
          <w:szCs w:val="22"/>
        </w:rPr>
        <w:t>Education Amendment Act of 1972</w:t>
      </w:r>
    </w:p>
    <w:p w:rsidR="00077EDA" w:rsidRDefault="00077EDA" w:rsidP="00077EDA">
      <w:pPr>
        <w:rPr>
          <w:rFonts w:ascii="Rockwell" w:hAnsi="Rockwell"/>
          <w:sz w:val="22"/>
          <w:szCs w:val="22"/>
        </w:rPr>
      </w:pPr>
      <w:hyperlink r:id="rId7" w:history="1">
        <w:r>
          <w:rPr>
            <w:rStyle w:val="Hyperlink"/>
            <w:rFonts w:ascii="Rockwell" w:hAnsi="Rockwell"/>
            <w:sz w:val="22"/>
            <w:szCs w:val="22"/>
          </w:rPr>
          <w:t>www.usdoj.gov/crt/cor/coord/titleixstat.htm</w:t>
        </w:r>
      </w:hyperlink>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r>
        <w:rPr>
          <w:rFonts w:ascii="Rockwell" w:hAnsi="Rockwell"/>
          <w:sz w:val="22"/>
          <w:szCs w:val="22"/>
        </w:rPr>
        <w:t>US Department of Justice</w:t>
      </w:r>
    </w:p>
    <w:p w:rsidR="00077EDA" w:rsidRDefault="00077EDA" w:rsidP="00077EDA">
      <w:pPr>
        <w:rPr>
          <w:rFonts w:ascii="Rockwell" w:hAnsi="Rockwell"/>
          <w:sz w:val="22"/>
          <w:szCs w:val="22"/>
        </w:rPr>
      </w:pPr>
      <w:hyperlink r:id="rId8" w:history="1">
        <w:r>
          <w:rPr>
            <w:rStyle w:val="Hyperlink"/>
            <w:rFonts w:ascii="Rockwell" w:hAnsi="Rockwell"/>
            <w:sz w:val="22"/>
            <w:szCs w:val="22"/>
          </w:rPr>
          <w:t>www.usdoj.gov</w:t>
        </w:r>
      </w:hyperlink>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r>
        <w:rPr>
          <w:rFonts w:ascii="Rockwell" w:hAnsi="Rockwell"/>
          <w:sz w:val="22"/>
          <w:szCs w:val="22"/>
        </w:rPr>
        <w:t>EEOC</w:t>
      </w:r>
    </w:p>
    <w:p w:rsidR="00077EDA" w:rsidRDefault="00077EDA" w:rsidP="00077EDA">
      <w:pPr>
        <w:rPr>
          <w:rFonts w:ascii="Rockwell" w:hAnsi="Rockwell"/>
          <w:sz w:val="22"/>
          <w:szCs w:val="22"/>
        </w:rPr>
      </w:pPr>
      <w:hyperlink r:id="rId9" w:history="1">
        <w:r>
          <w:rPr>
            <w:rStyle w:val="Hyperlink"/>
            <w:rFonts w:ascii="Rockwell" w:hAnsi="Rockwell"/>
            <w:sz w:val="22"/>
            <w:szCs w:val="22"/>
          </w:rPr>
          <w:t>www.eeoc.gov</w:t>
        </w:r>
      </w:hyperlink>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r>
        <w:rPr>
          <w:rFonts w:ascii="Rockwell" w:hAnsi="Rockwell"/>
          <w:sz w:val="22"/>
          <w:szCs w:val="22"/>
        </w:rPr>
        <w:t>US Department of Education</w:t>
      </w:r>
    </w:p>
    <w:p w:rsidR="00077EDA" w:rsidRDefault="00077EDA" w:rsidP="00077EDA">
      <w:pPr>
        <w:rPr>
          <w:rFonts w:ascii="Rockwell" w:hAnsi="Rockwell"/>
          <w:sz w:val="22"/>
          <w:szCs w:val="22"/>
        </w:rPr>
      </w:pPr>
      <w:hyperlink r:id="rId10" w:history="1">
        <w:r>
          <w:rPr>
            <w:rStyle w:val="Hyperlink"/>
            <w:rFonts w:ascii="Rockwell" w:hAnsi="Rockwell"/>
            <w:sz w:val="22"/>
            <w:szCs w:val="22"/>
          </w:rPr>
          <w:t>www.ed.gov</w:t>
        </w:r>
      </w:hyperlink>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r>
        <w:rPr>
          <w:rFonts w:ascii="Rockwell" w:hAnsi="Rockwell"/>
          <w:sz w:val="22"/>
          <w:szCs w:val="22"/>
        </w:rPr>
        <w:t>Veterans</w:t>
      </w:r>
    </w:p>
    <w:p w:rsidR="00077EDA" w:rsidRDefault="00077EDA" w:rsidP="00077EDA">
      <w:pPr>
        <w:rPr>
          <w:rFonts w:ascii="Rockwell" w:hAnsi="Rockwell"/>
          <w:sz w:val="22"/>
          <w:szCs w:val="22"/>
        </w:rPr>
      </w:pPr>
      <w:hyperlink r:id="rId11" w:history="1">
        <w:r>
          <w:rPr>
            <w:rStyle w:val="Hyperlink"/>
            <w:rFonts w:ascii="Rockwell" w:hAnsi="Rockwell"/>
            <w:sz w:val="22"/>
            <w:szCs w:val="22"/>
          </w:rPr>
          <w:t>www.dol.gov</w:t>
        </w:r>
      </w:hyperlink>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smartTag w:uri="urn:schemas-microsoft-com:office:smarttags" w:element="place">
        <w:smartTag w:uri="urn:schemas-microsoft-com:office:smarttags" w:element="country-region">
          <w:r>
            <w:rPr>
              <w:rFonts w:ascii="Rockwell" w:hAnsi="Rockwell"/>
              <w:sz w:val="22"/>
              <w:szCs w:val="22"/>
            </w:rPr>
            <w:t>Vietnam</w:t>
          </w:r>
        </w:smartTag>
      </w:smartTag>
      <w:r>
        <w:rPr>
          <w:rFonts w:ascii="Rockwell" w:hAnsi="Rockwell"/>
          <w:sz w:val="22"/>
          <w:szCs w:val="22"/>
        </w:rPr>
        <w:t xml:space="preserve"> Era Veterans Readjustment Assistance Act</w:t>
      </w:r>
    </w:p>
    <w:p w:rsidR="00077EDA" w:rsidRDefault="00077EDA" w:rsidP="00077EDA">
      <w:pPr>
        <w:rPr>
          <w:rFonts w:ascii="Rockwell" w:hAnsi="Rockwell"/>
          <w:sz w:val="22"/>
          <w:szCs w:val="22"/>
        </w:rPr>
      </w:pPr>
      <w:hyperlink r:id="rId12" w:history="1">
        <w:r>
          <w:rPr>
            <w:rStyle w:val="Hyperlink"/>
            <w:rFonts w:ascii="Rockwell" w:hAnsi="Rockwell"/>
            <w:sz w:val="22"/>
            <w:szCs w:val="22"/>
          </w:rPr>
          <w:t>www.dol.gov</w:t>
        </w:r>
      </w:hyperlink>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r>
        <w:rPr>
          <w:rFonts w:ascii="Rockwell" w:hAnsi="Rockwell"/>
          <w:sz w:val="22"/>
          <w:szCs w:val="22"/>
        </w:rPr>
        <w:t>Rehabilitation Act of 1973</w:t>
      </w:r>
    </w:p>
    <w:p w:rsidR="00077EDA" w:rsidRDefault="00077EDA" w:rsidP="00077EDA">
      <w:pPr>
        <w:rPr>
          <w:rFonts w:ascii="Rockwell" w:hAnsi="Rockwell"/>
          <w:sz w:val="22"/>
          <w:szCs w:val="22"/>
        </w:rPr>
      </w:pPr>
      <w:hyperlink r:id="rId13" w:history="1">
        <w:r>
          <w:rPr>
            <w:rStyle w:val="Hyperlink"/>
            <w:rFonts w:ascii="Rockwell" w:hAnsi="Rockwell"/>
            <w:sz w:val="22"/>
            <w:szCs w:val="22"/>
          </w:rPr>
          <w:t>www.dol.gov</w:t>
        </w:r>
      </w:hyperlink>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proofErr w:type="gramStart"/>
      <w:r>
        <w:rPr>
          <w:rFonts w:ascii="Rockwell" w:hAnsi="Rockwell"/>
          <w:sz w:val="22"/>
          <w:szCs w:val="22"/>
        </w:rPr>
        <w:t>American’s  Disability</w:t>
      </w:r>
      <w:proofErr w:type="gramEnd"/>
      <w:r>
        <w:rPr>
          <w:rFonts w:ascii="Rockwell" w:hAnsi="Rockwell"/>
          <w:sz w:val="22"/>
          <w:szCs w:val="22"/>
        </w:rPr>
        <w:t xml:space="preserve"> Act</w:t>
      </w:r>
    </w:p>
    <w:p w:rsidR="00077EDA" w:rsidRDefault="00077EDA" w:rsidP="00077EDA">
      <w:pPr>
        <w:rPr>
          <w:rFonts w:ascii="Rockwell" w:hAnsi="Rockwell"/>
          <w:sz w:val="22"/>
          <w:szCs w:val="22"/>
        </w:rPr>
      </w:pPr>
      <w:hyperlink r:id="rId14" w:history="1">
        <w:r>
          <w:rPr>
            <w:rStyle w:val="Hyperlink"/>
            <w:rFonts w:ascii="Rockwell" w:hAnsi="Rockwell"/>
            <w:sz w:val="22"/>
            <w:szCs w:val="22"/>
          </w:rPr>
          <w:t>www.dol.gov</w:t>
        </w:r>
      </w:hyperlink>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r>
        <w:rPr>
          <w:rFonts w:ascii="Rockwell" w:hAnsi="Rockwell"/>
          <w:sz w:val="22"/>
          <w:szCs w:val="22"/>
        </w:rPr>
        <w:br w:type="page"/>
      </w:r>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p>
    <w:p w:rsidR="00077EDA" w:rsidRDefault="00077EDA" w:rsidP="00077EDA">
      <w:pPr>
        <w:pStyle w:val="Heading4"/>
        <w:pBdr>
          <w:top w:val="single" w:sz="4" w:space="1" w:color="auto"/>
          <w:left w:val="single" w:sz="4" w:space="4" w:color="auto"/>
          <w:bottom w:val="single" w:sz="4" w:space="1" w:color="auto"/>
          <w:right w:val="single" w:sz="4" w:space="4" w:color="auto"/>
        </w:pBdr>
        <w:shd w:val="clear" w:color="auto" w:fill="C0C0C0"/>
        <w:jc w:val="center"/>
        <w:rPr>
          <w:sz w:val="26"/>
          <w:szCs w:val="26"/>
        </w:rPr>
      </w:pPr>
      <w:r>
        <w:rPr>
          <w:sz w:val="26"/>
          <w:szCs w:val="26"/>
        </w:rPr>
        <w:t xml:space="preserve">Southern </w:t>
      </w:r>
      <w:smartTag w:uri="urn:schemas-microsoft-com:office:smarttags" w:element="place">
        <w:smartTag w:uri="urn:schemas-microsoft-com:office:smarttags" w:element="PlaceName">
          <w:r>
            <w:rPr>
              <w:sz w:val="26"/>
              <w:szCs w:val="26"/>
            </w:rPr>
            <w:t>Arkansas</w:t>
          </w:r>
        </w:smartTag>
        <w:r>
          <w:rPr>
            <w:sz w:val="26"/>
            <w:szCs w:val="26"/>
          </w:rPr>
          <w:t xml:space="preserve"> </w:t>
        </w:r>
        <w:smartTag w:uri="urn:schemas-microsoft-com:office:smarttags" w:element="PlaceType">
          <w:r>
            <w:rPr>
              <w:sz w:val="26"/>
              <w:szCs w:val="26"/>
            </w:rPr>
            <w:t>University</w:t>
          </w:r>
        </w:smartTag>
      </w:smartTag>
      <w:r>
        <w:rPr>
          <w:sz w:val="26"/>
          <w:szCs w:val="26"/>
        </w:rPr>
        <w:t xml:space="preserve"> Tech</w:t>
      </w:r>
    </w:p>
    <w:p w:rsidR="00077EDA" w:rsidRDefault="00077EDA" w:rsidP="00077EDA">
      <w:pPr>
        <w:pStyle w:val="Heading2"/>
        <w:pBdr>
          <w:top w:val="single" w:sz="4" w:space="1" w:color="auto"/>
          <w:left w:val="single" w:sz="4" w:space="4" w:color="auto"/>
          <w:bottom w:val="single" w:sz="4" w:space="1" w:color="auto"/>
          <w:right w:val="single" w:sz="4" w:space="4" w:color="auto"/>
        </w:pBdr>
        <w:shd w:val="clear" w:color="auto" w:fill="C0C0C0"/>
        <w:jc w:val="center"/>
      </w:pPr>
      <w:r>
        <w:t>Discrimination/Harassment Complaint Form</w:t>
      </w:r>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r>
        <w:rPr>
          <w:rFonts w:ascii="Rockwell" w:hAnsi="Rockwell"/>
          <w:sz w:val="22"/>
          <w:szCs w:val="22"/>
        </w:rPr>
        <w:t>Please list the person(s) who is directing the discrimination/harassment towards you.</w:t>
      </w:r>
    </w:p>
    <w:p w:rsidR="00077EDA" w:rsidRDefault="00077EDA" w:rsidP="00077EDA">
      <w:pPr>
        <w:rPr>
          <w:rFonts w:ascii="Rockwell" w:hAnsi="Rockwell"/>
          <w:sz w:val="22"/>
          <w:szCs w:val="22"/>
        </w:rPr>
      </w:pPr>
    </w:p>
    <w:p w:rsidR="00077EDA" w:rsidRDefault="00077EDA" w:rsidP="00077EDA">
      <w:pPr>
        <w:pBdr>
          <w:top w:val="single" w:sz="12" w:space="1" w:color="auto"/>
          <w:bottom w:val="single" w:sz="12" w:space="1" w:color="auto"/>
        </w:pBdr>
        <w:rPr>
          <w:rFonts w:ascii="Rockwell" w:hAnsi="Rockwell"/>
          <w:sz w:val="22"/>
          <w:szCs w:val="22"/>
        </w:rPr>
      </w:pPr>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r>
        <w:rPr>
          <w:rFonts w:ascii="Rockwell" w:hAnsi="Rockwell"/>
          <w:sz w:val="22"/>
          <w:szCs w:val="22"/>
        </w:rPr>
        <w:t>What position does this person hold on campus?</w:t>
      </w:r>
    </w:p>
    <w:p w:rsidR="00077EDA" w:rsidRDefault="00077EDA" w:rsidP="00077EDA">
      <w:pPr>
        <w:pBdr>
          <w:bottom w:val="single" w:sz="12" w:space="1" w:color="auto"/>
        </w:pBdr>
        <w:rPr>
          <w:rFonts w:ascii="Rockwell" w:hAnsi="Rockwell"/>
          <w:sz w:val="22"/>
          <w:szCs w:val="22"/>
        </w:rPr>
      </w:pPr>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r>
        <w:rPr>
          <w:rFonts w:ascii="Rockwell" w:hAnsi="Rockwell"/>
          <w:sz w:val="22"/>
          <w:szCs w:val="22"/>
        </w:rPr>
        <w:t>Where did the incident occur?</w:t>
      </w:r>
    </w:p>
    <w:p w:rsidR="00077EDA" w:rsidRDefault="00077EDA" w:rsidP="00077EDA">
      <w:pPr>
        <w:pBdr>
          <w:bottom w:val="single" w:sz="12" w:space="1" w:color="auto"/>
        </w:pBdr>
        <w:rPr>
          <w:rFonts w:ascii="Rockwell" w:hAnsi="Rockwell"/>
          <w:sz w:val="22"/>
          <w:szCs w:val="22"/>
        </w:rPr>
      </w:pPr>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r>
        <w:rPr>
          <w:rFonts w:ascii="Rockwell" w:hAnsi="Rockwell"/>
          <w:sz w:val="22"/>
          <w:szCs w:val="22"/>
        </w:rPr>
        <w:t xml:space="preserve">When did the incident occur?  </w:t>
      </w:r>
      <w:proofErr w:type="gramStart"/>
      <w:r>
        <w:rPr>
          <w:rFonts w:ascii="Rockwell" w:hAnsi="Rockwell"/>
          <w:sz w:val="22"/>
          <w:szCs w:val="22"/>
        </w:rPr>
        <w:t>List times and dates.</w:t>
      </w:r>
      <w:proofErr w:type="gramEnd"/>
    </w:p>
    <w:p w:rsidR="00077EDA" w:rsidRDefault="00077EDA" w:rsidP="00077EDA">
      <w:pPr>
        <w:rPr>
          <w:rFonts w:ascii="Rockwell" w:hAnsi="Rockwell"/>
          <w:sz w:val="22"/>
          <w:szCs w:val="22"/>
        </w:rPr>
      </w:pPr>
    </w:p>
    <w:p w:rsidR="00077EDA" w:rsidRDefault="00077EDA" w:rsidP="00077EDA">
      <w:pPr>
        <w:pBdr>
          <w:top w:val="single" w:sz="12" w:space="1" w:color="auto"/>
          <w:bottom w:val="single" w:sz="12" w:space="1" w:color="auto"/>
        </w:pBdr>
        <w:rPr>
          <w:rFonts w:ascii="Rockwell" w:hAnsi="Rockwell"/>
          <w:sz w:val="22"/>
          <w:szCs w:val="22"/>
        </w:rPr>
      </w:pPr>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r>
        <w:rPr>
          <w:rFonts w:ascii="Rockwell" w:hAnsi="Rockwell"/>
          <w:sz w:val="22"/>
          <w:szCs w:val="22"/>
        </w:rPr>
        <w:t>Please describe the incident(s) and include such information as how you were discriminated against or harassed; if the harassment included body contact and to what extent; what if any, gestures or language were used; and if there were any witnesses to the incident(s).  Indicate if there were any threats or promises in connection with the harassment.</w:t>
      </w:r>
    </w:p>
    <w:p w:rsidR="00077EDA" w:rsidRDefault="00077EDA" w:rsidP="00077EDA">
      <w:pPr>
        <w:rPr>
          <w:rFonts w:ascii="Rockwell" w:hAnsi="Rockwell"/>
          <w:sz w:val="22"/>
          <w:szCs w:val="22"/>
        </w:rPr>
      </w:pPr>
    </w:p>
    <w:p w:rsidR="00077EDA" w:rsidRDefault="00077EDA" w:rsidP="00077EDA">
      <w:pPr>
        <w:pBdr>
          <w:top w:val="single" w:sz="12" w:space="1" w:color="auto"/>
          <w:bottom w:val="single" w:sz="12" w:space="1" w:color="auto"/>
        </w:pBdr>
        <w:rPr>
          <w:rFonts w:ascii="Rockwell" w:hAnsi="Rockwell"/>
          <w:sz w:val="22"/>
          <w:szCs w:val="22"/>
        </w:rPr>
      </w:pPr>
    </w:p>
    <w:p w:rsidR="00077EDA" w:rsidRDefault="00077EDA" w:rsidP="00077EDA">
      <w:pPr>
        <w:pBdr>
          <w:bottom w:val="single" w:sz="12" w:space="1" w:color="auto"/>
          <w:between w:val="single" w:sz="12" w:space="1" w:color="auto"/>
        </w:pBdr>
        <w:rPr>
          <w:rFonts w:ascii="Rockwell" w:hAnsi="Rockwell"/>
          <w:sz w:val="22"/>
          <w:szCs w:val="22"/>
        </w:rPr>
      </w:pPr>
    </w:p>
    <w:p w:rsidR="00077EDA" w:rsidRDefault="00077EDA" w:rsidP="00077EDA">
      <w:pPr>
        <w:pBdr>
          <w:bottom w:val="single" w:sz="12" w:space="1" w:color="auto"/>
          <w:between w:val="single" w:sz="12" w:space="1" w:color="auto"/>
        </w:pBdr>
        <w:rPr>
          <w:rFonts w:ascii="Rockwell" w:hAnsi="Rockwell"/>
          <w:sz w:val="22"/>
          <w:szCs w:val="22"/>
        </w:rPr>
      </w:pPr>
    </w:p>
    <w:p w:rsidR="00077EDA" w:rsidRDefault="00077EDA" w:rsidP="00077EDA">
      <w:pPr>
        <w:pBdr>
          <w:bottom w:val="single" w:sz="12" w:space="1" w:color="auto"/>
          <w:between w:val="single" w:sz="12" w:space="1" w:color="auto"/>
        </w:pBdr>
        <w:rPr>
          <w:rFonts w:ascii="Rockwell" w:hAnsi="Rockwell"/>
          <w:sz w:val="22"/>
          <w:szCs w:val="22"/>
        </w:rPr>
      </w:pPr>
    </w:p>
    <w:p w:rsidR="00077EDA" w:rsidRDefault="00077EDA" w:rsidP="00077EDA">
      <w:pPr>
        <w:pBdr>
          <w:bottom w:val="single" w:sz="12" w:space="1" w:color="auto"/>
          <w:between w:val="single" w:sz="12" w:space="1" w:color="auto"/>
        </w:pBdr>
        <w:rPr>
          <w:rFonts w:ascii="Rockwell" w:hAnsi="Rockwell"/>
          <w:sz w:val="22"/>
          <w:szCs w:val="22"/>
        </w:rPr>
      </w:pPr>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r>
        <w:rPr>
          <w:rFonts w:ascii="Rockwell" w:hAnsi="Rockwell"/>
          <w:sz w:val="22"/>
          <w:szCs w:val="22"/>
        </w:rPr>
        <w:t>Have you discussed this situation with the person involved?</w:t>
      </w:r>
    </w:p>
    <w:p w:rsidR="00077EDA" w:rsidRDefault="00077EDA" w:rsidP="00077EDA">
      <w:pPr>
        <w:rPr>
          <w:rFonts w:ascii="Rockwell" w:hAnsi="Rockwell"/>
          <w:sz w:val="22"/>
          <w:szCs w:val="22"/>
        </w:rPr>
      </w:pPr>
      <w:proofErr w:type="gramStart"/>
      <w:r>
        <w:rPr>
          <w:rFonts w:ascii="Rockwell" w:hAnsi="Rockwell"/>
          <w:sz w:val="22"/>
          <w:szCs w:val="22"/>
        </w:rPr>
        <w:t>If no, why not?</w:t>
      </w:r>
      <w:proofErr w:type="gramEnd"/>
      <w:r>
        <w:rPr>
          <w:rFonts w:ascii="Rockwell" w:hAnsi="Rockwell"/>
          <w:sz w:val="22"/>
          <w:szCs w:val="22"/>
        </w:rPr>
        <w:t xml:space="preserve">  If yes, what was the response?  Please list date, time and location of this discussion.</w:t>
      </w:r>
    </w:p>
    <w:p w:rsidR="00077EDA" w:rsidRDefault="00077EDA" w:rsidP="00077EDA">
      <w:pPr>
        <w:rPr>
          <w:rFonts w:ascii="Rockwell" w:hAnsi="Rockwell"/>
          <w:sz w:val="22"/>
          <w:szCs w:val="22"/>
        </w:rPr>
      </w:pPr>
    </w:p>
    <w:p w:rsidR="00077EDA" w:rsidRDefault="00077EDA" w:rsidP="00077EDA">
      <w:pPr>
        <w:pBdr>
          <w:top w:val="single" w:sz="12" w:space="1" w:color="auto"/>
          <w:bottom w:val="single" w:sz="12" w:space="1" w:color="auto"/>
        </w:pBdr>
        <w:rPr>
          <w:rFonts w:ascii="Rockwell" w:hAnsi="Rockwell"/>
          <w:sz w:val="22"/>
          <w:szCs w:val="22"/>
        </w:rPr>
      </w:pPr>
    </w:p>
    <w:p w:rsidR="00077EDA" w:rsidRDefault="00077EDA" w:rsidP="00077EDA">
      <w:pPr>
        <w:pBdr>
          <w:bottom w:val="single" w:sz="12" w:space="1" w:color="auto"/>
          <w:between w:val="single" w:sz="12" w:space="1" w:color="auto"/>
        </w:pBdr>
        <w:rPr>
          <w:rFonts w:ascii="Rockwell" w:hAnsi="Rockwell"/>
          <w:sz w:val="22"/>
          <w:szCs w:val="22"/>
        </w:rPr>
      </w:pPr>
    </w:p>
    <w:p w:rsidR="00077EDA" w:rsidRDefault="00077EDA" w:rsidP="00077EDA">
      <w:pPr>
        <w:pBdr>
          <w:bottom w:val="single" w:sz="12" w:space="1" w:color="auto"/>
          <w:between w:val="single" w:sz="12" w:space="1" w:color="auto"/>
        </w:pBdr>
        <w:rPr>
          <w:rFonts w:ascii="Rockwell" w:hAnsi="Rockwell"/>
          <w:sz w:val="22"/>
          <w:szCs w:val="22"/>
        </w:rPr>
      </w:pPr>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bookmarkStart w:id="0" w:name="_GoBack"/>
      <w:bookmarkEnd w:id="0"/>
      <w:r>
        <w:rPr>
          <w:rFonts w:ascii="Rockwell" w:hAnsi="Rockwell"/>
          <w:sz w:val="22"/>
          <w:szCs w:val="22"/>
        </w:rPr>
        <w:lastRenderedPageBreak/>
        <w:t xml:space="preserve">Have you discussed this situation with your supervisor or the appropriate College administrator?  </w:t>
      </w:r>
      <w:proofErr w:type="gramStart"/>
      <w:r>
        <w:rPr>
          <w:rFonts w:ascii="Rockwell" w:hAnsi="Rockwell"/>
          <w:sz w:val="22"/>
          <w:szCs w:val="22"/>
        </w:rPr>
        <w:t>If no, why not?</w:t>
      </w:r>
      <w:proofErr w:type="gramEnd"/>
      <w:r>
        <w:rPr>
          <w:rFonts w:ascii="Rockwell" w:hAnsi="Rockwell"/>
          <w:sz w:val="22"/>
          <w:szCs w:val="22"/>
        </w:rPr>
        <w:t xml:space="preserve">  If yes, what was the person’s response?  Please list date, time, and location of this discussion.</w:t>
      </w:r>
    </w:p>
    <w:p w:rsidR="00077EDA" w:rsidRDefault="00077EDA" w:rsidP="00077EDA">
      <w:pPr>
        <w:rPr>
          <w:rFonts w:ascii="Rockwell" w:hAnsi="Rockwell"/>
          <w:sz w:val="22"/>
          <w:szCs w:val="22"/>
        </w:rPr>
      </w:pPr>
    </w:p>
    <w:p w:rsidR="00077EDA" w:rsidRDefault="00077EDA" w:rsidP="00077EDA">
      <w:pPr>
        <w:pBdr>
          <w:top w:val="single" w:sz="12" w:space="1" w:color="auto"/>
          <w:bottom w:val="single" w:sz="12" w:space="1" w:color="auto"/>
        </w:pBdr>
        <w:rPr>
          <w:rFonts w:ascii="Rockwell" w:hAnsi="Rockwell"/>
          <w:sz w:val="22"/>
          <w:szCs w:val="22"/>
        </w:rPr>
      </w:pPr>
    </w:p>
    <w:p w:rsidR="00077EDA" w:rsidRDefault="00077EDA" w:rsidP="00077EDA">
      <w:pPr>
        <w:pBdr>
          <w:bottom w:val="single" w:sz="12" w:space="1" w:color="auto"/>
          <w:between w:val="single" w:sz="12" w:space="1" w:color="auto"/>
        </w:pBdr>
        <w:rPr>
          <w:rFonts w:ascii="Rockwell" w:hAnsi="Rockwell"/>
          <w:sz w:val="22"/>
          <w:szCs w:val="22"/>
        </w:rPr>
      </w:pPr>
    </w:p>
    <w:p w:rsidR="00077EDA" w:rsidRDefault="00077EDA" w:rsidP="00077EDA">
      <w:pPr>
        <w:pBdr>
          <w:bottom w:val="single" w:sz="12" w:space="1" w:color="auto"/>
          <w:between w:val="single" w:sz="12" w:space="1" w:color="auto"/>
        </w:pBdr>
        <w:rPr>
          <w:rFonts w:ascii="Rockwell" w:hAnsi="Rockwell"/>
          <w:sz w:val="22"/>
          <w:szCs w:val="22"/>
        </w:rPr>
      </w:pPr>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r>
        <w:rPr>
          <w:rFonts w:ascii="Rockwell" w:hAnsi="Rockwell"/>
          <w:sz w:val="22"/>
          <w:szCs w:val="22"/>
        </w:rPr>
        <w:t>Please list any additional information that you feel would be helpful to the College in investigating your complaint.</w:t>
      </w:r>
    </w:p>
    <w:p w:rsidR="00077EDA" w:rsidRDefault="00077EDA" w:rsidP="00077EDA">
      <w:pPr>
        <w:rPr>
          <w:rFonts w:ascii="Rockwell" w:hAnsi="Rockwell"/>
          <w:sz w:val="22"/>
          <w:szCs w:val="22"/>
        </w:rPr>
      </w:pPr>
    </w:p>
    <w:p w:rsidR="00077EDA" w:rsidRDefault="00077EDA" w:rsidP="00077EDA">
      <w:pPr>
        <w:pBdr>
          <w:top w:val="single" w:sz="12" w:space="1" w:color="auto"/>
          <w:bottom w:val="single" w:sz="12" w:space="1" w:color="auto"/>
        </w:pBdr>
        <w:rPr>
          <w:rFonts w:ascii="Rockwell" w:hAnsi="Rockwell"/>
          <w:sz w:val="22"/>
          <w:szCs w:val="22"/>
        </w:rPr>
      </w:pPr>
    </w:p>
    <w:p w:rsidR="00077EDA" w:rsidRDefault="00077EDA" w:rsidP="00077EDA">
      <w:pPr>
        <w:pBdr>
          <w:bottom w:val="single" w:sz="12" w:space="1" w:color="auto"/>
          <w:between w:val="single" w:sz="12" w:space="1" w:color="auto"/>
        </w:pBdr>
        <w:rPr>
          <w:rFonts w:ascii="Rockwell" w:hAnsi="Rockwell"/>
          <w:sz w:val="22"/>
          <w:szCs w:val="22"/>
        </w:rPr>
      </w:pPr>
    </w:p>
    <w:p w:rsidR="00077EDA" w:rsidRDefault="00077EDA" w:rsidP="00077EDA">
      <w:pPr>
        <w:pBdr>
          <w:bottom w:val="single" w:sz="12" w:space="1" w:color="auto"/>
          <w:between w:val="single" w:sz="12" w:space="1" w:color="auto"/>
        </w:pBdr>
        <w:rPr>
          <w:rFonts w:ascii="Rockwell" w:hAnsi="Rockwell"/>
          <w:sz w:val="22"/>
          <w:szCs w:val="22"/>
        </w:rPr>
      </w:pPr>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r>
        <w:rPr>
          <w:rFonts w:ascii="Rockwell" w:hAnsi="Rockwell"/>
          <w:sz w:val="22"/>
          <w:szCs w:val="22"/>
        </w:rPr>
        <w:t>The above summation of my complaint is accurate to the best of my knowledge.</w:t>
      </w:r>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r>
        <w:rPr>
          <w:rFonts w:ascii="Rockwell" w:hAnsi="Rockwell"/>
          <w:sz w:val="22"/>
          <w:szCs w:val="22"/>
        </w:rPr>
        <w:t xml:space="preserve">Signature </w:t>
      </w:r>
    </w:p>
    <w:p w:rsidR="00077EDA" w:rsidRDefault="00077EDA" w:rsidP="00077EDA">
      <w:pPr>
        <w:pBdr>
          <w:bottom w:val="single" w:sz="12" w:space="1" w:color="auto"/>
        </w:pBdr>
        <w:rPr>
          <w:rFonts w:ascii="Rockwell" w:hAnsi="Rockwell"/>
          <w:sz w:val="22"/>
          <w:szCs w:val="22"/>
        </w:rPr>
      </w:pPr>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r>
        <w:rPr>
          <w:rFonts w:ascii="Rockwell" w:hAnsi="Rockwell"/>
          <w:sz w:val="22"/>
          <w:szCs w:val="22"/>
        </w:rPr>
        <w:t>Date</w:t>
      </w:r>
    </w:p>
    <w:p w:rsidR="00077EDA" w:rsidRDefault="00077EDA" w:rsidP="00077EDA">
      <w:pPr>
        <w:pBdr>
          <w:bottom w:val="single" w:sz="12" w:space="1" w:color="auto"/>
        </w:pBdr>
        <w:rPr>
          <w:rFonts w:ascii="Rockwell" w:hAnsi="Rockwell"/>
          <w:sz w:val="22"/>
          <w:szCs w:val="22"/>
        </w:rPr>
      </w:pPr>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p>
    <w:p w:rsidR="00077EDA" w:rsidRDefault="00077EDA" w:rsidP="00077EDA">
      <w:pPr>
        <w:rPr>
          <w:rFonts w:ascii="Rockwell" w:hAnsi="Rockwell"/>
          <w:sz w:val="22"/>
          <w:szCs w:val="22"/>
        </w:rPr>
      </w:pPr>
      <w:r>
        <w:rPr>
          <w:rFonts w:ascii="Rockwell" w:hAnsi="Rockwell"/>
          <w:sz w:val="22"/>
          <w:szCs w:val="22"/>
        </w:rPr>
        <w:br w:type="page"/>
      </w:r>
    </w:p>
    <w:p w:rsidR="00B41F72" w:rsidRDefault="00B41F72"/>
    <w:sectPr w:rsidR="00B41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8D0"/>
    <w:multiLevelType w:val="hybridMultilevel"/>
    <w:tmpl w:val="3C6A2D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D4E61D9"/>
    <w:multiLevelType w:val="hybridMultilevel"/>
    <w:tmpl w:val="37FC4A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DA"/>
    <w:rsid w:val="00007661"/>
    <w:rsid w:val="00015ED6"/>
    <w:rsid w:val="000173C7"/>
    <w:rsid w:val="00026159"/>
    <w:rsid w:val="00044681"/>
    <w:rsid w:val="00044F25"/>
    <w:rsid w:val="00067B9B"/>
    <w:rsid w:val="00072194"/>
    <w:rsid w:val="00077EDA"/>
    <w:rsid w:val="00083DFE"/>
    <w:rsid w:val="0009305C"/>
    <w:rsid w:val="000A3642"/>
    <w:rsid w:val="000D692E"/>
    <w:rsid w:val="000D69F8"/>
    <w:rsid w:val="000D6B32"/>
    <w:rsid w:val="000E202C"/>
    <w:rsid w:val="000E339C"/>
    <w:rsid w:val="000F4726"/>
    <w:rsid w:val="000F6016"/>
    <w:rsid w:val="001121CD"/>
    <w:rsid w:val="001218B7"/>
    <w:rsid w:val="001248A0"/>
    <w:rsid w:val="00141CA7"/>
    <w:rsid w:val="001439B2"/>
    <w:rsid w:val="00145368"/>
    <w:rsid w:val="0014784C"/>
    <w:rsid w:val="00147EC4"/>
    <w:rsid w:val="00154CBB"/>
    <w:rsid w:val="0016606E"/>
    <w:rsid w:val="00192E14"/>
    <w:rsid w:val="001C4348"/>
    <w:rsid w:val="001D112A"/>
    <w:rsid w:val="001D7722"/>
    <w:rsid w:val="001E5541"/>
    <w:rsid w:val="00200850"/>
    <w:rsid w:val="0021389D"/>
    <w:rsid w:val="002172AD"/>
    <w:rsid w:val="002271D2"/>
    <w:rsid w:val="00237187"/>
    <w:rsid w:val="002541C2"/>
    <w:rsid w:val="00270749"/>
    <w:rsid w:val="002723A5"/>
    <w:rsid w:val="00275089"/>
    <w:rsid w:val="002949E5"/>
    <w:rsid w:val="002A0F36"/>
    <w:rsid w:val="002B1B64"/>
    <w:rsid w:val="002B5A08"/>
    <w:rsid w:val="002B6450"/>
    <w:rsid w:val="002B6BC2"/>
    <w:rsid w:val="002B7493"/>
    <w:rsid w:val="002B7AAE"/>
    <w:rsid w:val="002D1382"/>
    <w:rsid w:val="00303A40"/>
    <w:rsid w:val="003111EE"/>
    <w:rsid w:val="00312E59"/>
    <w:rsid w:val="00317E2F"/>
    <w:rsid w:val="00321833"/>
    <w:rsid w:val="00322B45"/>
    <w:rsid w:val="0032664A"/>
    <w:rsid w:val="00335EEC"/>
    <w:rsid w:val="003419A1"/>
    <w:rsid w:val="0035221E"/>
    <w:rsid w:val="00354A7E"/>
    <w:rsid w:val="00360F3E"/>
    <w:rsid w:val="0036707D"/>
    <w:rsid w:val="0037370A"/>
    <w:rsid w:val="0037374D"/>
    <w:rsid w:val="00381A10"/>
    <w:rsid w:val="0039645B"/>
    <w:rsid w:val="00397AE1"/>
    <w:rsid w:val="003A65B4"/>
    <w:rsid w:val="003C136D"/>
    <w:rsid w:val="003E56FC"/>
    <w:rsid w:val="003E72C2"/>
    <w:rsid w:val="003F0AB4"/>
    <w:rsid w:val="003F10B0"/>
    <w:rsid w:val="004447C9"/>
    <w:rsid w:val="00450F77"/>
    <w:rsid w:val="00451143"/>
    <w:rsid w:val="0045382C"/>
    <w:rsid w:val="00457A87"/>
    <w:rsid w:val="00495F2A"/>
    <w:rsid w:val="004A5F06"/>
    <w:rsid w:val="004B4F2E"/>
    <w:rsid w:val="004C4AE9"/>
    <w:rsid w:val="004D705E"/>
    <w:rsid w:val="00504FC6"/>
    <w:rsid w:val="005164C6"/>
    <w:rsid w:val="0051782C"/>
    <w:rsid w:val="00521739"/>
    <w:rsid w:val="0053076D"/>
    <w:rsid w:val="0055590F"/>
    <w:rsid w:val="0056553E"/>
    <w:rsid w:val="00566EA0"/>
    <w:rsid w:val="00570BE0"/>
    <w:rsid w:val="005918AC"/>
    <w:rsid w:val="005A2612"/>
    <w:rsid w:val="005B2A77"/>
    <w:rsid w:val="005C3988"/>
    <w:rsid w:val="005D3EA9"/>
    <w:rsid w:val="005D6811"/>
    <w:rsid w:val="005D7F57"/>
    <w:rsid w:val="005E5806"/>
    <w:rsid w:val="005F1FE9"/>
    <w:rsid w:val="00627016"/>
    <w:rsid w:val="006320A8"/>
    <w:rsid w:val="00644E93"/>
    <w:rsid w:val="00645735"/>
    <w:rsid w:val="006574FD"/>
    <w:rsid w:val="00661A30"/>
    <w:rsid w:val="00670D69"/>
    <w:rsid w:val="006878A3"/>
    <w:rsid w:val="00697F7F"/>
    <w:rsid w:val="006A04FF"/>
    <w:rsid w:val="006B1209"/>
    <w:rsid w:val="006B16FC"/>
    <w:rsid w:val="006B2349"/>
    <w:rsid w:val="006B2378"/>
    <w:rsid w:val="006B26A4"/>
    <w:rsid w:val="006B6D87"/>
    <w:rsid w:val="006B7E27"/>
    <w:rsid w:val="006C1F91"/>
    <w:rsid w:val="006C3DC3"/>
    <w:rsid w:val="006D75CF"/>
    <w:rsid w:val="006E22D8"/>
    <w:rsid w:val="006E23B0"/>
    <w:rsid w:val="006F0F15"/>
    <w:rsid w:val="006F42B1"/>
    <w:rsid w:val="007070C8"/>
    <w:rsid w:val="00711F55"/>
    <w:rsid w:val="007126F7"/>
    <w:rsid w:val="00714FBC"/>
    <w:rsid w:val="0072236D"/>
    <w:rsid w:val="00731833"/>
    <w:rsid w:val="00732C86"/>
    <w:rsid w:val="007469D2"/>
    <w:rsid w:val="00747F93"/>
    <w:rsid w:val="00755273"/>
    <w:rsid w:val="00755C4B"/>
    <w:rsid w:val="00776011"/>
    <w:rsid w:val="007852DD"/>
    <w:rsid w:val="00796F2A"/>
    <w:rsid w:val="007A5A1A"/>
    <w:rsid w:val="007B068D"/>
    <w:rsid w:val="007B2E5E"/>
    <w:rsid w:val="007C0030"/>
    <w:rsid w:val="007E0428"/>
    <w:rsid w:val="007E73FA"/>
    <w:rsid w:val="007F2BA2"/>
    <w:rsid w:val="007F4CE3"/>
    <w:rsid w:val="0080558E"/>
    <w:rsid w:val="00846FA7"/>
    <w:rsid w:val="00861DE1"/>
    <w:rsid w:val="00876E67"/>
    <w:rsid w:val="008901B8"/>
    <w:rsid w:val="00892E97"/>
    <w:rsid w:val="008B4E6A"/>
    <w:rsid w:val="008D0C82"/>
    <w:rsid w:val="008D1F71"/>
    <w:rsid w:val="008D4B98"/>
    <w:rsid w:val="008E3711"/>
    <w:rsid w:val="00903400"/>
    <w:rsid w:val="00911E01"/>
    <w:rsid w:val="009141E5"/>
    <w:rsid w:val="00923B83"/>
    <w:rsid w:val="0092751E"/>
    <w:rsid w:val="00931319"/>
    <w:rsid w:val="00931FDC"/>
    <w:rsid w:val="00937383"/>
    <w:rsid w:val="00940D22"/>
    <w:rsid w:val="00944235"/>
    <w:rsid w:val="00947877"/>
    <w:rsid w:val="009512F9"/>
    <w:rsid w:val="00955CC5"/>
    <w:rsid w:val="0096295B"/>
    <w:rsid w:val="00964536"/>
    <w:rsid w:val="00964C6E"/>
    <w:rsid w:val="0097031C"/>
    <w:rsid w:val="009718CC"/>
    <w:rsid w:val="00972A51"/>
    <w:rsid w:val="00986707"/>
    <w:rsid w:val="00987B70"/>
    <w:rsid w:val="009B43F9"/>
    <w:rsid w:val="009B76E3"/>
    <w:rsid w:val="009C6216"/>
    <w:rsid w:val="009C7A0C"/>
    <w:rsid w:val="009D0503"/>
    <w:rsid w:val="009D1F8B"/>
    <w:rsid w:val="00A26D4B"/>
    <w:rsid w:val="00A35DF4"/>
    <w:rsid w:val="00A36C63"/>
    <w:rsid w:val="00A65B3F"/>
    <w:rsid w:val="00AB017E"/>
    <w:rsid w:val="00AB5891"/>
    <w:rsid w:val="00AE0421"/>
    <w:rsid w:val="00B0024D"/>
    <w:rsid w:val="00B37388"/>
    <w:rsid w:val="00B41F72"/>
    <w:rsid w:val="00B44E96"/>
    <w:rsid w:val="00B540C0"/>
    <w:rsid w:val="00B63B36"/>
    <w:rsid w:val="00B731F8"/>
    <w:rsid w:val="00B8721F"/>
    <w:rsid w:val="00B913EE"/>
    <w:rsid w:val="00B94EFF"/>
    <w:rsid w:val="00BA292C"/>
    <w:rsid w:val="00BA4057"/>
    <w:rsid w:val="00BA40B2"/>
    <w:rsid w:val="00BA7CC7"/>
    <w:rsid w:val="00BC19A9"/>
    <w:rsid w:val="00BC1B97"/>
    <w:rsid w:val="00BD0AD8"/>
    <w:rsid w:val="00BD1A9F"/>
    <w:rsid w:val="00C004C0"/>
    <w:rsid w:val="00C07FCA"/>
    <w:rsid w:val="00C1684C"/>
    <w:rsid w:val="00C227C8"/>
    <w:rsid w:val="00C248A2"/>
    <w:rsid w:val="00C27AEA"/>
    <w:rsid w:val="00C30CB9"/>
    <w:rsid w:val="00C32185"/>
    <w:rsid w:val="00C4553B"/>
    <w:rsid w:val="00C60AD0"/>
    <w:rsid w:val="00C638CC"/>
    <w:rsid w:val="00C94D15"/>
    <w:rsid w:val="00C97EBC"/>
    <w:rsid w:val="00CB49A8"/>
    <w:rsid w:val="00CC586C"/>
    <w:rsid w:val="00CC619C"/>
    <w:rsid w:val="00CC68AD"/>
    <w:rsid w:val="00CF1CA8"/>
    <w:rsid w:val="00CF35DF"/>
    <w:rsid w:val="00D14DC6"/>
    <w:rsid w:val="00D164E2"/>
    <w:rsid w:val="00D202F1"/>
    <w:rsid w:val="00D3023E"/>
    <w:rsid w:val="00D31456"/>
    <w:rsid w:val="00D4625D"/>
    <w:rsid w:val="00D514EB"/>
    <w:rsid w:val="00D53E2F"/>
    <w:rsid w:val="00D54F6F"/>
    <w:rsid w:val="00D610E2"/>
    <w:rsid w:val="00D63282"/>
    <w:rsid w:val="00D65E7D"/>
    <w:rsid w:val="00D66BE8"/>
    <w:rsid w:val="00D7548A"/>
    <w:rsid w:val="00DA62F9"/>
    <w:rsid w:val="00DB3B7D"/>
    <w:rsid w:val="00DC2A06"/>
    <w:rsid w:val="00DD6D1B"/>
    <w:rsid w:val="00DE6E64"/>
    <w:rsid w:val="00E17148"/>
    <w:rsid w:val="00E2018B"/>
    <w:rsid w:val="00E25706"/>
    <w:rsid w:val="00E2673C"/>
    <w:rsid w:val="00E26DAE"/>
    <w:rsid w:val="00E32D86"/>
    <w:rsid w:val="00E333D2"/>
    <w:rsid w:val="00E54624"/>
    <w:rsid w:val="00E67435"/>
    <w:rsid w:val="00E67EE0"/>
    <w:rsid w:val="00E77E36"/>
    <w:rsid w:val="00E85194"/>
    <w:rsid w:val="00E950E8"/>
    <w:rsid w:val="00EA1D0C"/>
    <w:rsid w:val="00EB4416"/>
    <w:rsid w:val="00EB643B"/>
    <w:rsid w:val="00EC7867"/>
    <w:rsid w:val="00ED15FE"/>
    <w:rsid w:val="00ED7665"/>
    <w:rsid w:val="00EE7239"/>
    <w:rsid w:val="00F0727B"/>
    <w:rsid w:val="00F31768"/>
    <w:rsid w:val="00F33853"/>
    <w:rsid w:val="00F43EF4"/>
    <w:rsid w:val="00F536E3"/>
    <w:rsid w:val="00F53D76"/>
    <w:rsid w:val="00F66F89"/>
    <w:rsid w:val="00F7553B"/>
    <w:rsid w:val="00F84BF6"/>
    <w:rsid w:val="00FB60F1"/>
    <w:rsid w:val="00FE0103"/>
    <w:rsid w:val="00FE0C59"/>
    <w:rsid w:val="00FF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DA"/>
    <w:rPr>
      <w:rFonts w:ascii="Times New Roman" w:eastAsia="Times New Roman" w:hAnsi="Times New Roman" w:cs="Times New Roman"/>
      <w:sz w:val="20"/>
      <w:szCs w:val="20"/>
    </w:rPr>
  </w:style>
  <w:style w:type="paragraph" w:styleId="Heading2">
    <w:name w:val="heading 2"/>
    <w:basedOn w:val="Normal"/>
    <w:next w:val="Normal"/>
    <w:link w:val="Heading2Char"/>
    <w:qFormat/>
    <w:rsid w:val="00077EDA"/>
    <w:pPr>
      <w:keepNext/>
      <w:tabs>
        <w:tab w:val="left" w:pos="-1080"/>
        <w:tab w:val="left" w:pos="-720"/>
        <w:tab w:val="left" w:pos="0"/>
        <w:tab w:val="left" w:pos="720"/>
        <w:tab w:val="left" w:pos="1440"/>
        <w:tab w:val="left" w:pos="207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30" w:hanging="2430"/>
      <w:jc w:val="both"/>
      <w:outlineLvl w:val="1"/>
    </w:pPr>
    <w:rPr>
      <w:rFonts w:ascii="Arial" w:hAnsi="Arial"/>
      <w:b/>
      <w:bCs/>
      <w:sz w:val="22"/>
      <w:szCs w:val="22"/>
      <w:u w:val="single"/>
    </w:rPr>
  </w:style>
  <w:style w:type="paragraph" w:styleId="Heading4">
    <w:name w:val="heading 4"/>
    <w:basedOn w:val="Normal"/>
    <w:next w:val="Normal"/>
    <w:link w:val="Heading4Char"/>
    <w:uiPriority w:val="9"/>
    <w:semiHidden/>
    <w:unhideWhenUsed/>
    <w:qFormat/>
    <w:rsid w:val="00077E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7EDA"/>
    <w:rPr>
      <w:rFonts w:ascii="Arial" w:eastAsia="Times New Roman" w:hAnsi="Arial" w:cs="Times New Roman"/>
      <w:b/>
      <w:bCs/>
      <w:u w:val="single"/>
    </w:rPr>
  </w:style>
  <w:style w:type="paragraph" w:styleId="BodyText2">
    <w:name w:val="Body Text 2"/>
    <w:basedOn w:val="Normal"/>
    <w:link w:val="BodyText2Char"/>
    <w:rsid w:val="00077EDA"/>
    <w:pPr>
      <w:jc w:val="center"/>
    </w:pPr>
    <w:rPr>
      <w:rFonts w:ascii="Arial" w:hAnsi="Arial"/>
      <w:b/>
      <w:bCs/>
      <w:sz w:val="22"/>
      <w:szCs w:val="22"/>
    </w:rPr>
  </w:style>
  <w:style w:type="character" w:customStyle="1" w:styleId="BodyText2Char">
    <w:name w:val="Body Text 2 Char"/>
    <w:basedOn w:val="DefaultParagraphFont"/>
    <w:link w:val="BodyText2"/>
    <w:rsid w:val="00077EDA"/>
    <w:rPr>
      <w:rFonts w:ascii="Arial" w:eastAsia="Times New Roman" w:hAnsi="Arial" w:cs="Times New Roman"/>
      <w:b/>
      <w:bCs/>
    </w:rPr>
  </w:style>
  <w:style w:type="character" w:customStyle="1" w:styleId="Heading4Char">
    <w:name w:val="Heading 4 Char"/>
    <w:basedOn w:val="DefaultParagraphFont"/>
    <w:link w:val="Heading4"/>
    <w:uiPriority w:val="9"/>
    <w:semiHidden/>
    <w:rsid w:val="00077EDA"/>
    <w:rPr>
      <w:rFonts w:asciiTheme="majorHAnsi" w:eastAsiaTheme="majorEastAsia" w:hAnsiTheme="majorHAnsi" w:cstheme="majorBidi"/>
      <w:b/>
      <w:bCs/>
      <w:i/>
      <w:iCs/>
      <w:color w:val="4F81BD" w:themeColor="accent1"/>
      <w:sz w:val="20"/>
      <w:szCs w:val="20"/>
    </w:rPr>
  </w:style>
  <w:style w:type="character" w:styleId="Hyperlink">
    <w:name w:val="Hyperlink"/>
    <w:uiPriority w:val="99"/>
    <w:rsid w:val="00077E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DA"/>
    <w:rPr>
      <w:rFonts w:ascii="Times New Roman" w:eastAsia="Times New Roman" w:hAnsi="Times New Roman" w:cs="Times New Roman"/>
      <w:sz w:val="20"/>
      <w:szCs w:val="20"/>
    </w:rPr>
  </w:style>
  <w:style w:type="paragraph" w:styleId="Heading2">
    <w:name w:val="heading 2"/>
    <w:basedOn w:val="Normal"/>
    <w:next w:val="Normal"/>
    <w:link w:val="Heading2Char"/>
    <w:qFormat/>
    <w:rsid w:val="00077EDA"/>
    <w:pPr>
      <w:keepNext/>
      <w:tabs>
        <w:tab w:val="left" w:pos="-1080"/>
        <w:tab w:val="left" w:pos="-720"/>
        <w:tab w:val="left" w:pos="0"/>
        <w:tab w:val="left" w:pos="720"/>
        <w:tab w:val="left" w:pos="1440"/>
        <w:tab w:val="left" w:pos="207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30" w:hanging="2430"/>
      <w:jc w:val="both"/>
      <w:outlineLvl w:val="1"/>
    </w:pPr>
    <w:rPr>
      <w:rFonts w:ascii="Arial" w:hAnsi="Arial"/>
      <w:b/>
      <w:bCs/>
      <w:sz w:val="22"/>
      <w:szCs w:val="22"/>
      <w:u w:val="single"/>
    </w:rPr>
  </w:style>
  <w:style w:type="paragraph" w:styleId="Heading4">
    <w:name w:val="heading 4"/>
    <w:basedOn w:val="Normal"/>
    <w:next w:val="Normal"/>
    <w:link w:val="Heading4Char"/>
    <w:uiPriority w:val="9"/>
    <w:semiHidden/>
    <w:unhideWhenUsed/>
    <w:qFormat/>
    <w:rsid w:val="00077E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7EDA"/>
    <w:rPr>
      <w:rFonts w:ascii="Arial" w:eastAsia="Times New Roman" w:hAnsi="Arial" w:cs="Times New Roman"/>
      <w:b/>
      <w:bCs/>
      <w:u w:val="single"/>
    </w:rPr>
  </w:style>
  <w:style w:type="paragraph" w:styleId="BodyText2">
    <w:name w:val="Body Text 2"/>
    <w:basedOn w:val="Normal"/>
    <w:link w:val="BodyText2Char"/>
    <w:rsid w:val="00077EDA"/>
    <w:pPr>
      <w:jc w:val="center"/>
    </w:pPr>
    <w:rPr>
      <w:rFonts w:ascii="Arial" w:hAnsi="Arial"/>
      <w:b/>
      <w:bCs/>
      <w:sz w:val="22"/>
      <w:szCs w:val="22"/>
    </w:rPr>
  </w:style>
  <w:style w:type="character" w:customStyle="1" w:styleId="BodyText2Char">
    <w:name w:val="Body Text 2 Char"/>
    <w:basedOn w:val="DefaultParagraphFont"/>
    <w:link w:val="BodyText2"/>
    <w:rsid w:val="00077EDA"/>
    <w:rPr>
      <w:rFonts w:ascii="Arial" w:eastAsia="Times New Roman" w:hAnsi="Arial" w:cs="Times New Roman"/>
      <w:b/>
      <w:bCs/>
    </w:rPr>
  </w:style>
  <w:style w:type="character" w:customStyle="1" w:styleId="Heading4Char">
    <w:name w:val="Heading 4 Char"/>
    <w:basedOn w:val="DefaultParagraphFont"/>
    <w:link w:val="Heading4"/>
    <w:uiPriority w:val="9"/>
    <w:semiHidden/>
    <w:rsid w:val="00077EDA"/>
    <w:rPr>
      <w:rFonts w:asciiTheme="majorHAnsi" w:eastAsiaTheme="majorEastAsia" w:hAnsiTheme="majorHAnsi" w:cstheme="majorBidi"/>
      <w:b/>
      <w:bCs/>
      <w:i/>
      <w:iCs/>
      <w:color w:val="4F81BD" w:themeColor="accent1"/>
      <w:sz w:val="20"/>
      <w:szCs w:val="20"/>
    </w:rPr>
  </w:style>
  <w:style w:type="character" w:styleId="Hyperlink">
    <w:name w:val="Hyperlink"/>
    <w:uiPriority w:val="99"/>
    <w:rsid w:val="00077E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oj.gov" TargetMode="External"/><Relationship Id="rId13" Type="http://schemas.openxmlformats.org/officeDocument/2006/relationships/hyperlink" Target="http://www.dol.gov" TargetMode="External"/><Relationship Id="rId3" Type="http://schemas.microsoft.com/office/2007/relationships/stylesWithEffects" Target="stylesWithEffects.xml"/><Relationship Id="rId7" Type="http://schemas.openxmlformats.org/officeDocument/2006/relationships/hyperlink" Target="http://www.usdoj.gov/crt/cor/coord/titleixstat.htm" TargetMode="External"/><Relationship Id="rId12" Type="http://schemas.openxmlformats.org/officeDocument/2006/relationships/hyperlink" Target="http://www.dol.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usinfo.state.gov/usa/infousa/laws/majorlaw/civilr19.htm" TargetMode="External"/><Relationship Id="rId11" Type="http://schemas.openxmlformats.org/officeDocument/2006/relationships/hyperlink" Target="http://www.dol.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gov" TargetMode="External"/><Relationship Id="rId4" Type="http://schemas.openxmlformats.org/officeDocument/2006/relationships/settings" Target="settings.xml"/><Relationship Id="rId9" Type="http://schemas.openxmlformats.org/officeDocument/2006/relationships/hyperlink" Target="http://www.eeoc.gov" TargetMode="External"/><Relationship Id="rId14" Type="http://schemas.openxmlformats.org/officeDocument/2006/relationships/hyperlink" Target="http://www.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SAU Tech</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Johnson</dc:creator>
  <cp:lastModifiedBy>Laura Johnson</cp:lastModifiedBy>
  <cp:revision>1</cp:revision>
  <dcterms:created xsi:type="dcterms:W3CDTF">2015-07-20T21:23:00Z</dcterms:created>
  <dcterms:modified xsi:type="dcterms:W3CDTF">2015-07-20T21:31:00Z</dcterms:modified>
</cp:coreProperties>
</file>